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D0" w:rsidRPr="00295ED3" w:rsidRDefault="00BD35D0" w:rsidP="00BD35D0">
      <w:pPr>
        <w:pStyle w:val="ECCAnnexheading3"/>
        <w:numPr>
          <w:ilvl w:val="0"/>
          <w:numId w:val="2"/>
        </w:numPr>
      </w:pPr>
      <w:bookmarkStart w:id="0" w:name="_Toc367408142"/>
      <w:bookmarkStart w:id="1" w:name="_Toc367378419"/>
      <w:r>
        <w:t>Summary of results of PMSE Q</w:t>
      </w:r>
      <w:r w:rsidRPr="00295ED3">
        <w:t>uestionnaire</w:t>
      </w:r>
      <w:bookmarkEnd w:id="0"/>
      <w:bookmarkEnd w:id="1"/>
      <w:r w:rsidR="00B54F2A">
        <w:t xml:space="preserve"> (2016, WG FM)</w:t>
      </w:r>
    </w:p>
    <w:p w:rsidR="00BD35D0" w:rsidRPr="00295ED3" w:rsidRDefault="00BD35D0" w:rsidP="00BD35D0">
      <w:pPr>
        <w:pStyle w:val="ECCParagraph"/>
      </w:pPr>
      <w:r w:rsidRPr="00295ED3">
        <w:t xml:space="preserve">During the development of </w:t>
      </w:r>
      <w:r w:rsidR="00B54F2A">
        <w:rPr>
          <w:lang w:val="en-GB"/>
        </w:rPr>
        <w:t>ECC</w:t>
      </w:r>
      <w:r w:rsidRPr="00295ED3">
        <w:t xml:space="preserve"> Report</w:t>
      </w:r>
      <w:r w:rsidR="00B54F2A">
        <w:rPr>
          <w:lang w:val="en-GB"/>
        </w:rPr>
        <w:t xml:space="preserve"> 204</w:t>
      </w:r>
      <w:r w:rsidRPr="00295ED3">
        <w:t>, the ECC developed a questionnaire</w:t>
      </w:r>
      <w:r w:rsidR="00B54F2A">
        <w:rPr>
          <w:rStyle w:val="FootnoteReference"/>
        </w:rPr>
        <w:footnoteReference w:id="1"/>
      </w:r>
      <w:r w:rsidRPr="00295ED3">
        <w:t xml:space="preserve"> to CEPT administrations on the regulatory procedures used by administrations in granting access to spectrum for PMSE.</w:t>
      </w:r>
    </w:p>
    <w:p w:rsidR="00BD35D0" w:rsidRPr="00295ED3" w:rsidRDefault="00BD35D0" w:rsidP="00BD35D0">
      <w:pPr>
        <w:pStyle w:val="ECCParagraph"/>
      </w:pPr>
      <w:r w:rsidRPr="00295ED3">
        <w:t>The questionnaire covered all frequency bands that are available for PMSE. The table below summari</w:t>
      </w:r>
      <w:r>
        <w:t>s</w:t>
      </w:r>
      <w:r w:rsidRPr="00295ED3">
        <w:t xml:space="preserve">es the results - based on the replies of </w:t>
      </w:r>
      <w:r>
        <w:t>34</w:t>
      </w:r>
      <w:r w:rsidRPr="00295ED3">
        <w:t xml:space="preserve"> CEPT administratio</w:t>
      </w:r>
      <w:bookmarkStart w:id="5" w:name="_GoBack"/>
      <w:bookmarkEnd w:id="5"/>
      <w:r w:rsidRPr="00295ED3">
        <w:t>ns - relevant for PMSE audio applications regarding availability and use.</w:t>
      </w:r>
    </w:p>
    <w:p w:rsidR="00BD35D0" w:rsidRPr="00295ED3" w:rsidRDefault="00BD35D0" w:rsidP="00BD35D0">
      <w:pPr>
        <w:pStyle w:val="Caption"/>
        <w:rPr>
          <w:lang w:val="en-GB"/>
        </w:rPr>
      </w:pPr>
      <w:r w:rsidRPr="00295ED3">
        <w:rPr>
          <w:lang w:val="en-GB"/>
        </w:rPr>
        <w:t xml:space="preserve">Table </w:t>
      </w:r>
      <w:r w:rsidRPr="00295ED3">
        <w:rPr>
          <w:lang w:val="en-GB"/>
        </w:rPr>
        <w:fldChar w:fldCharType="begin"/>
      </w:r>
      <w:r w:rsidRPr="00295ED3">
        <w:rPr>
          <w:lang w:val="en-GB"/>
        </w:rPr>
        <w:instrText xml:space="preserve"> SEQ Table \* ARABIC </w:instrText>
      </w:r>
      <w:r w:rsidRPr="00295ED3">
        <w:rPr>
          <w:lang w:val="en-GB"/>
        </w:rPr>
        <w:fldChar w:fldCharType="separate"/>
      </w:r>
      <w:r>
        <w:rPr>
          <w:noProof/>
          <w:lang w:val="en-GB"/>
        </w:rPr>
        <w:t>1</w:t>
      </w:r>
      <w:r w:rsidRPr="00295ED3">
        <w:rPr>
          <w:noProof/>
          <w:lang w:val="en-GB"/>
        </w:rPr>
        <w:fldChar w:fldCharType="end"/>
      </w:r>
      <w:r w:rsidRPr="00295ED3">
        <w:rPr>
          <w:lang w:val="en-GB"/>
        </w:rPr>
        <w:t>: Results of CEPT Questionnaire on the availability of spectrum for PMS</w:t>
      </w:r>
      <w:r w:rsidR="001D5408">
        <w:rPr>
          <w:lang w:val="en-GB"/>
        </w:rPr>
        <w:t>E</w:t>
      </w:r>
      <w:r w:rsidRPr="00295ED3">
        <w:rPr>
          <w:lang w:val="en-GB"/>
        </w:rPr>
        <w:t xml:space="preserve"> audio applications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51"/>
        <w:gridCol w:w="7796"/>
      </w:tblGrid>
      <w:tr w:rsidR="00BD35D0" w:rsidRPr="00295ED3" w:rsidTr="00E56BFF">
        <w:trPr>
          <w:tblHeader/>
        </w:trPr>
        <w:tc>
          <w:tcPr>
            <w:tcW w:w="1951"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p w:rsidR="00BD35D0" w:rsidRPr="00295ED3" w:rsidRDefault="00BD35D0" w:rsidP="00E56BFF">
            <w:pPr>
              <w:spacing w:line="288" w:lineRule="auto"/>
              <w:jc w:val="center"/>
              <w:rPr>
                <w:b/>
                <w:color w:val="FFFFFF"/>
                <w:lang w:val="en-GB"/>
              </w:rPr>
            </w:pPr>
            <w:r w:rsidRPr="00295ED3">
              <w:rPr>
                <w:b/>
                <w:color w:val="FFFFFF"/>
                <w:lang w:val="en-GB"/>
              </w:rPr>
              <w:t xml:space="preserve">Frequency band </w:t>
            </w:r>
          </w:p>
        </w:tc>
        <w:tc>
          <w:tcPr>
            <w:tcW w:w="7796" w:type="dxa"/>
            <w:tcBorders>
              <w:top w:val="single" w:sz="4" w:space="0" w:color="D2232A"/>
              <w:left w:val="single" w:sz="8" w:space="0" w:color="FFFFFF"/>
              <w:bottom w:val="single" w:sz="4" w:space="0" w:color="D2232A"/>
              <w:right w:val="single" w:sz="8" w:space="0" w:color="FFFFFF"/>
            </w:tcBorders>
            <w:shd w:val="clear" w:color="auto" w:fill="D2232A"/>
            <w:vAlign w:val="center"/>
            <w:hideMark/>
          </w:tcPr>
          <w:p w:rsidR="00BD35D0" w:rsidRPr="00295ED3" w:rsidRDefault="00BD35D0" w:rsidP="00E56BFF">
            <w:pPr>
              <w:spacing w:line="288" w:lineRule="auto"/>
              <w:jc w:val="center"/>
              <w:rPr>
                <w:b/>
                <w:color w:val="FFFFFF"/>
                <w:lang w:val="en-GB"/>
              </w:rPr>
            </w:pPr>
            <w:r w:rsidRPr="00295ED3">
              <w:rPr>
                <w:b/>
                <w:color w:val="FFFFFF"/>
                <w:lang w:val="en-GB"/>
              </w:rPr>
              <w:t xml:space="preserve">Preliminary Analysis / </w:t>
            </w:r>
            <w:r>
              <w:rPr>
                <w:b/>
                <w:color w:val="FFFFFF"/>
                <w:lang w:val="en-GB"/>
              </w:rPr>
              <w:t>R</w:t>
            </w:r>
            <w:r w:rsidRPr="00295ED3">
              <w:rPr>
                <w:b/>
                <w:color w:val="FFFFFF"/>
                <w:lang w:val="en-GB"/>
              </w:rPr>
              <w:t xml:space="preserve">esults </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29.</w:t>
            </w:r>
            <w:r>
              <w:rPr>
                <w:lang w:val="en-GB"/>
              </w:rPr>
              <w:t>7-</w:t>
            </w:r>
            <w:r w:rsidRPr="00295ED3">
              <w:rPr>
                <w:lang w:val="en-GB"/>
              </w:rPr>
              <w:t>47.0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The summary shows that this band, fully or part of it, is widely available for PMSE applications across CEPT (25 from the 30 providing a response to this band). This is mostly for wireless microphones, sometimes with the extension to other low power audio applications</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17</w:t>
            </w:r>
            <w:r>
              <w:rPr>
                <w:lang w:val="en-GB"/>
              </w:rPr>
              <w:t>4-</w:t>
            </w:r>
            <w:r w:rsidRPr="00295ED3">
              <w:rPr>
                <w:lang w:val="en-GB"/>
              </w:rPr>
              <w:t>216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30 administrations providing a response on this band, 28 report</w:t>
            </w:r>
            <w:r>
              <w:rPr>
                <w:lang w:val="en-GB"/>
              </w:rPr>
              <w:t>s</w:t>
            </w:r>
            <w:r w:rsidRPr="00295ED3">
              <w:rPr>
                <w:lang w:val="en-GB"/>
              </w:rPr>
              <w:t xml:space="preserve"> about the availability of the band or parts of it for PMSE applications. </w:t>
            </w:r>
          </w:p>
          <w:p w:rsidR="00BD35D0" w:rsidRPr="00295ED3" w:rsidRDefault="00BD35D0" w:rsidP="00E56BFF">
            <w:pPr>
              <w:spacing w:line="288" w:lineRule="auto"/>
              <w:rPr>
                <w:lang w:val="en-GB"/>
              </w:rPr>
            </w:pPr>
            <w:r w:rsidRPr="00295ED3">
              <w:rPr>
                <w:lang w:val="en-GB"/>
              </w:rPr>
              <w:t>Predominant use is for radio microphones (including hearing aids)</w:t>
            </w:r>
            <w:proofErr w:type="gramStart"/>
            <w:r w:rsidRPr="00295ED3">
              <w:rPr>
                <w:lang w:val="en-GB"/>
              </w:rPr>
              <w:t>,</w:t>
            </w:r>
            <w:proofErr w:type="gramEnd"/>
            <w:r w:rsidRPr="00295ED3">
              <w:rPr>
                <w:lang w:val="en-GB"/>
              </w:rPr>
              <w:t xml:space="preserve"> the band is also used for other PMSE applications such as wireless audio links and talkbacks with technical conditions based in most cases on </w:t>
            </w:r>
            <w:r>
              <w:rPr>
                <w:lang w:val="en-GB"/>
              </w:rPr>
              <w:t>ERC/</w:t>
            </w:r>
            <w:r w:rsidRPr="00295ED3">
              <w:rPr>
                <w:lang w:val="en-GB"/>
              </w:rPr>
              <w:t xml:space="preserve">REC 70-03. However, some countries apply more stringent conditions (lower </w:t>
            </w:r>
            <w:proofErr w:type="spellStart"/>
            <w:r>
              <w:rPr>
                <w:lang w:val="en-GB"/>
              </w:rPr>
              <w:t>e.r.p</w:t>
            </w:r>
            <w:proofErr w:type="spellEnd"/>
            <w:r>
              <w:rPr>
                <w:lang w:val="en-GB"/>
              </w:rPr>
              <w:t>.</w:t>
            </w:r>
            <w:r w:rsidRPr="00295ED3">
              <w:rPr>
                <w:lang w:val="en-GB"/>
              </w:rPr>
              <w:t xml:space="preserve"> or requirement on the bandwidth or channel spacing)</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470-</w:t>
            </w:r>
            <w:r w:rsidRPr="00295ED3">
              <w:rPr>
                <w:lang w:val="en-GB"/>
              </w:rPr>
              <w:t>786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31 countries providing a response on this band, 29 report</w:t>
            </w:r>
            <w:r>
              <w:rPr>
                <w:lang w:val="en-GB"/>
              </w:rPr>
              <w:t>s</w:t>
            </w:r>
            <w:r w:rsidRPr="00295ED3">
              <w:rPr>
                <w:lang w:val="en-GB"/>
              </w:rPr>
              <w:t xml:space="preserve"> about the availability of the band or parts of it for PMSE applications. </w:t>
            </w:r>
          </w:p>
          <w:p w:rsidR="00BD35D0" w:rsidRPr="00295ED3" w:rsidRDefault="00BD35D0" w:rsidP="00E56BFF">
            <w:pPr>
              <w:spacing w:line="288" w:lineRule="auto"/>
              <w:rPr>
                <w:lang w:val="en-GB"/>
              </w:rPr>
            </w:pPr>
            <w:r w:rsidRPr="00295ED3">
              <w:rPr>
                <w:lang w:val="en-GB"/>
              </w:rPr>
              <w:t xml:space="preserve">Predominant use is for radio microphones (and also in-ear-monitors) with technical conditions based in most cases on </w:t>
            </w:r>
            <w:r>
              <w:rPr>
                <w:lang w:val="en-GB"/>
              </w:rPr>
              <w:t>ERC/</w:t>
            </w:r>
            <w:r w:rsidRPr="00295ED3">
              <w:rPr>
                <w:lang w:val="en-GB"/>
              </w:rPr>
              <w:t>REC 70-03</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786-</w:t>
            </w:r>
            <w:r w:rsidRPr="00295ED3">
              <w:rPr>
                <w:lang w:val="en-GB"/>
              </w:rPr>
              <w:t>789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31 countries providing a response on this band, 27 of them report about the availability of the band for PMSE applications.</w:t>
            </w:r>
          </w:p>
          <w:p w:rsidR="00BD35D0" w:rsidRPr="00295ED3" w:rsidRDefault="00BD35D0" w:rsidP="00E56BFF">
            <w:pPr>
              <w:spacing w:line="288" w:lineRule="auto"/>
              <w:rPr>
                <w:lang w:val="en-GB"/>
              </w:rPr>
            </w:pPr>
            <w:r w:rsidRPr="00295ED3">
              <w:rPr>
                <w:lang w:val="en-GB"/>
              </w:rPr>
              <w:t xml:space="preserve">The predominant use is for radio microphones (and also in-ear-monitors) with technical conditions based in most cases on </w:t>
            </w:r>
            <w:r>
              <w:rPr>
                <w:lang w:val="en-GB"/>
              </w:rPr>
              <w:t>ERC/</w:t>
            </w:r>
            <w:r w:rsidRPr="00295ED3">
              <w:rPr>
                <w:lang w:val="en-GB"/>
              </w:rPr>
              <w:t>REC 70-03 and ECC/DEC</w:t>
            </w:r>
            <w:proofErr w:type="gramStart"/>
            <w:r>
              <w:rPr>
                <w:lang w:val="en-GB"/>
              </w:rPr>
              <w:t>/</w:t>
            </w:r>
            <w:r w:rsidRPr="00295ED3">
              <w:rPr>
                <w:lang w:val="en-GB"/>
              </w:rPr>
              <w:t>(</w:t>
            </w:r>
            <w:proofErr w:type="gramEnd"/>
            <w:r w:rsidRPr="00295ED3">
              <w:rPr>
                <w:lang w:val="en-GB"/>
              </w:rPr>
              <w:t xml:space="preserve">09)03. However, some countries apply slightly different conditions ( presumably based on previous versions of </w:t>
            </w:r>
            <w:r>
              <w:rPr>
                <w:lang w:val="en-GB"/>
              </w:rPr>
              <w:t>ERC/</w:t>
            </w:r>
            <w:r w:rsidRPr="00295ED3">
              <w:rPr>
                <w:lang w:val="en-GB"/>
              </w:rPr>
              <w:t>REC 70-03)</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823-</w:t>
            </w:r>
            <w:r w:rsidRPr="00295ED3">
              <w:rPr>
                <w:lang w:val="en-GB"/>
              </w:rPr>
              <w:t>826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 xml:space="preserve">From the 31 countries providing a response on this band, 24 of them report about the current availability of the band for PMSE applications. The availability of the </w:t>
            </w:r>
            <w:r w:rsidRPr="00295ED3">
              <w:rPr>
                <w:lang w:val="en-GB"/>
              </w:rPr>
              <w:lastRenderedPageBreak/>
              <w:t>band is also under consideration in 3 other countries.</w:t>
            </w:r>
          </w:p>
          <w:p w:rsidR="00BD35D0" w:rsidRPr="00295ED3" w:rsidRDefault="00BD35D0" w:rsidP="00E56BFF">
            <w:pPr>
              <w:spacing w:line="288" w:lineRule="auto"/>
              <w:rPr>
                <w:lang w:val="en-GB"/>
              </w:rPr>
            </w:pPr>
            <w:r w:rsidRPr="00295ED3">
              <w:rPr>
                <w:lang w:val="en-GB"/>
              </w:rPr>
              <w:t xml:space="preserve">The predominant use is for radio microphones (and also in-ear-monitors) with technical conditions based in most cases on </w:t>
            </w:r>
            <w:r>
              <w:rPr>
                <w:lang w:val="en-GB"/>
              </w:rPr>
              <w:t>ERC/</w:t>
            </w:r>
            <w:r w:rsidRPr="00295ED3">
              <w:rPr>
                <w:lang w:val="en-GB"/>
              </w:rPr>
              <w:t>REC 70-03 and ECC/DEC</w:t>
            </w:r>
            <w:r>
              <w:rPr>
                <w:lang w:val="en-GB"/>
              </w:rPr>
              <w:t>/</w:t>
            </w:r>
            <w:r w:rsidRPr="00295ED3">
              <w:rPr>
                <w:lang w:val="en-GB"/>
              </w:rPr>
              <w:t xml:space="preserve">(09)03 However, some countries apply slightly different conditions ( presumably based on previous versions of </w:t>
            </w:r>
            <w:r>
              <w:rPr>
                <w:lang w:val="en-GB"/>
              </w:rPr>
              <w:t>ERC/</w:t>
            </w:r>
            <w:r w:rsidRPr="00295ED3">
              <w:rPr>
                <w:lang w:val="en-GB"/>
              </w:rPr>
              <w:t>REC 70-03)</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lastRenderedPageBreak/>
              <w:t>826-</w:t>
            </w:r>
            <w:r w:rsidRPr="00295ED3">
              <w:rPr>
                <w:lang w:val="en-GB"/>
              </w:rPr>
              <w:t>832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 xml:space="preserve">From the 31 countries providing a response to this band, 24 of them report about the availability of the band or parts of it for PMSE applications. The availability of the band is also under consideration in 3 other countries. </w:t>
            </w:r>
          </w:p>
          <w:p w:rsidR="00BD35D0" w:rsidRPr="00295ED3" w:rsidRDefault="00BD35D0" w:rsidP="00E56BFF">
            <w:pPr>
              <w:spacing w:line="288" w:lineRule="auto"/>
              <w:rPr>
                <w:lang w:val="en-GB"/>
              </w:rPr>
            </w:pPr>
            <w:r w:rsidRPr="00295ED3">
              <w:rPr>
                <w:lang w:val="en-GB"/>
              </w:rPr>
              <w:t xml:space="preserve">The predominant use is for radio microphones (and also in-ear-monitors) with technical conditions based in most cases on </w:t>
            </w:r>
            <w:r>
              <w:rPr>
                <w:lang w:val="en-GB"/>
              </w:rPr>
              <w:t>ERC/</w:t>
            </w:r>
            <w:r w:rsidRPr="00295ED3">
              <w:rPr>
                <w:lang w:val="en-GB"/>
              </w:rPr>
              <w:t>REC 70-03 and ECC/DEC</w:t>
            </w:r>
            <w:r>
              <w:rPr>
                <w:lang w:val="en-GB"/>
              </w:rPr>
              <w:t>/</w:t>
            </w:r>
            <w:r w:rsidRPr="00295ED3">
              <w:rPr>
                <w:lang w:val="en-GB"/>
              </w:rPr>
              <w:t>(09)03</w:t>
            </w:r>
          </w:p>
          <w:p w:rsidR="00BD35D0" w:rsidRPr="00295ED3" w:rsidRDefault="00BD35D0" w:rsidP="00E56BFF">
            <w:pPr>
              <w:spacing w:line="288" w:lineRule="auto"/>
              <w:rPr>
                <w:lang w:val="en-GB"/>
              </w:rPr>
            </w:pPr>
            <w:r w:rsidRPr="00295ED3">
              <w:rPr>
                <w:lang w:val="en-GB"/>
              </w:rPr>
              <w:t xml:space="preserve">In some countries, the regulation is expected to be amended to be in line with the latest version of </w:t>
            </w:r>
            <w:r>
              <w:rPr>
                <w:lang w:val="en-GB"/>
              </w:rPr>
              <w:t>ERC/</w:t>
            </w:r>
            <w:r w:rsidRPr="00295ED3">
              <w:rPr>
                <w:lang w:val="en-GB"/>
              </w:rPr>
              <w:t>REC 70-03</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863-</w:t>
            </w:r>
            <w:r w:rsidRPr="00295ED3">
              <w:rPr>
                <w:lang w:val="en-GB"/>
              </w:rPr>
              <w:t>865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The 30 countries providing a response on this band, report about the availability of the band for PMSE applications.</w:t>
            </w:r>
          </w:p>
          <w:p w:rsidR="00BD35D0" w:rsidRPr="00295ED3" w:rsidRDefault="00BD35D0" w:rsidP="00E56BFF">
            <w:pPr>
              <w:spacing w:line="288" w:lineRule="auto"/>
              <w:rPr>
                <w:lang w:val="en-GB"/>
              </w:rPr>
            </w:pPr>
            <w:r w:rsidRPr="00295ED3">
              <w:rPr>
                <w:lang w:val="en-GB"/>
              </w:rPr>
              <w:t>In 29 of these countries, the band is used or planned to be used by radio microphones and also in-ear-monitoring and wireless au</w:t>
            </w:r>
            <w:r>
              <w:rPr>
                <w:lang w:val="en-GB"/>
              </w:rPr>
              <w:t>d</w:t>
            </w:r>
            <w:r w:rsidRPr="00295ED3">
              <w:rPr>
                <w:lang w:val="en-GB"/>
              </w:rPr>
              <w:t xml:space="preserve">io applications with technical conditions based in most cases on </w:t>
            </w:r>
            <w:r>
              <w:rPr>
                <w:lang w:val="en-GB"/>
              </w:rPr>
              <w:t>ERC/</w:t>
            </w:r>
            <w:r w:rsidRPr="00295ED3">
              <w:rPr>
                <w:lang w:val="en-GB"/>
              </w:rPr>
              <w:t>REC 70-03 (Annex 10, 13)</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1785</w:t>
            </w:r>
            <w:r>
              <w:rPr>
                <w:lang w:val="en-GB"/>
              </w:rPr>
              <w:t>-</w:t>
            </w:r>
            <w:r w:rsidRPr="00295ED3">
              <w:rPr>
                <w:lang w:val="en-GB"/>
              </w:rPr>
              <w:t>1800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30 countries providing a response on this band, 23 of them report about the availability of the band or parts of it for PMSE applications. In addition, 3 countries intend to make the band available in the near future.</w:t>
            </w:r>
          </w:p>
          <w:p w:rsidR="00BD35D0" w:rsidRPr="00295ED3" w:rsidRDefault="00BD35D0" w:rsidP="00E56BFF">
            <w:pPr>
              <w:spacing w:line="288" w:lineRule="auto"/>
              <w:rPr>
                <w:lang w:val="en-GB"/>
              </w:rPr>
            </w:pPr>
            <w:r w:rsidRPr="00295ED3">
              <w:rPr>
                <w:lang w:val="en-GB"/>
              </w:rPr>
              <w:t xml:space="preserve">The band is used or planned to be used by radio microphones and also in-ear monitoring and wireless audio applications with technical conditions based in most cases on </w:t>
            </w:r>
            <w:r>
              <w:rPr>
                <w:lang w:val="en-GB"/>
              </w:rPr>
              <w:t>ERC/</w:t>
            </w:r>
            <w:r w:rsidRPr="00295ED3">
              <w:rPr>
                <w:lang w:val="en-GB"/>
              </w:rPr>
              <w:t>REC 70-03 (Annex 10, 13)</w:t>
            </w:r>
          </w:p>
        </w:tc>
      </w:tr>
    </w:tbl>
    <w:p w:rsidR="00BD35D0" w:rsidRPr="00295ED3" w:rsidRDefault="00BD35D0" w:rsidP="00BD35D0">
      <w:pPr>
        <w:pStyle w:val="ECCParagraph"/>
      </w:pPr>
    </w:p>
    <w:p w:rsidR="00BD35D0" w:rsidRPr="00295ED3" w:rsidRDefault="00BD35D0" w:rsidP="00BD35D0">
      <w:pPr>
        <w:pStyle w:val="ECCParagraph"/>
      </w:pPr>
      <w:r w:rsidRPr="00295ED3">
        <w:t xml:space="preserve">From the analysis and results of the responses to the PMSE questionnaire, it can be concluded that the 8 tuning ranges are currently available for PMSE audio applications in the majority of the countries from which responses were received. </w:t>
      </w:r>
    </w:p>
    <w:p w:rsidR="00BD35D0" w:rsidRPr="00295ED3" w:rsidRDefault="00BD35D0" w:rsidP="00BD35D0">
      <w:pPr>
        <w:pStyle w:val="ECCParagraph"/>
      </w:pPr>
      <w:r w:rsidRPr="00295ED3">
        <w:t xml:space="preserve">Some operating and/or usage restrictions in a given tuning range may result from other services working in the same or adjacent band as the PMSE applications. In addition the propagation conditions discussed in section </w:t>
      </w:r>
      <w:r>
        <w:fldChar w:fldCharType="begin"/>
      </w:r>
      <w:r>
        <w:instrText xml:space="preserve"> REF _Ref373251140 \r \h </w:instrText>
      </w:r>
      <w:r>
        <w:fldChar w:fldCharType="separate"/>
      </w:r>
      <w:r>
        <w:t>A1.3.1.4</w:t>
      </w:r>
      <w:r>
        <w:fldChar w:fldCharType="end"/>
      </w:r>
      <w:r w:rsidRPr="00295ED3">
        <w:t xml:space="preserve"> play a large part on the usability of the band and on the type of Audio PMSE applications which could be used in a given band.</w:t>
      </w:r>
    </w:p>
    <w:p w:rsidR="00BD35D0" w:rsidRPr="00295ED3" w:rsidRDefault="00BD35D0" w:rsidP="00BD35D0">
      <w:pPr>
        <w:pStyle w:val="ECCAnnexheading3"/>
        <w:numPr>
          <w:ilvl w:val="0"/>
          <w:numId w:val="2"/>
        </w:numPr>
      </w:pPr>
      <w:bookmarkStart w:id="6" w:name="_Toc367408143"/>
      <w:bookmarkStart w:id="7" w:name="_Toc367378420"/>
      <w:r>
        <w:t>Licensing C</w:t>
      </w:r>
      <w:r w:rsidRPr="00295ED3">
        <w:t>onsiderations</w:t>
      </w:r>
      <w:bookmarkEnd w:id="6"/>
      <w:bookmarkEnd w:id="7"/>
    </w:p>
    <w:p w:rsidR="00BD35D0" w:rsidRPr="00295ED3" w:rsidRDefault="00BD35D0" w:rsidP="00BD35D0">
      <w:pPr>
        <w:pStyle w:val="ECCParagraph"/>
      </w:pPr>
      <w:r w:rsidRPr="00295ED3">
        <w:t xml:space="preserve">PMSE use requires, depending of the frequency band, applying and obtaining licenses. Throughout the administrations, the licensing regime and the relevant contact points may vary. </w:t>
      </w:r>
    </w:p>
    <w:p w:rsidR="00BD35D0" w:rsidRPr="00295ED3" w:rsidRDefault="00BD35D0" w:rsidP="00BD35D0">
      <w:pPr>
        <w:pStyle w:val="ECCParagraph"/>
      </w:pPr>
      <w:r w:rsidRPr="00295ED3">
        <w:lastRenderedPageBreak/>
        <w:t xml:space="preserve">The PMSE questionnaire questions on the licensing regimes that is in use for PMSE. The table below, summarizes the results regarding licensing for the PMSE audio bands </w:t>
      </w:r>
    </w:p>
    <w:p w:rsidR="00BD35D0" w:rsidRPr="00295ED3" w:rsidRDefault="00BD35D0" w:rsidP="00BD35D0">
      <w:pPr>
        <w:pStyle w:val="Caption"/>
        <w:rPr>
          <w:lang w:val="en-GB"/>
        </w:rPr>
      </w:pPr>
      <w:r w:rsidRPr="00295ED3">
        <w:rPr>
          <w:lang w:val="en-GB"/>
        </w:rPr>
        <w:t xml:space="preserve">Table </w:t>
      </w:r>
      <w:r w:rsidRPr="00295ED3">
        <w:rPr>
          <w:lang w:val="en-GB"/>
        </w:rPr>
        <w:fldChar w:fldCharType="begin"/>
      </w:r>
      <w:r w:rsidRPr="00295ED3">
        <w:rPr>
          <w:lang w:val="en-GB"/>
        </w:rPr>
        <w:instrText xml:space="preserve"> SEQ Table \* ARABIC </w:instrText>
      </w:r>
      <w:r w:rsidRPr="00295ED3">
        <w:rPr>
          <w:lang w:val="en-GB"/>
        </w:rPr>
        <w:fldChar w:fldCharType="separate"/>
      </w:r>
      <w:r>
        <w:rPr>
          <w:noProof/>
          <w:lang w:val="en-GB"/>
        </w:rPr>
        <w:t>2</w:t>
      </w:r>
      <w:r w:rsidRPr="00295ED3">
        <w:rPr>
          <w:noProof/>
          <w:lang w:val="en-GB"/>
        </w:rPr>
        <w:fldChar w:fldCharType="end"/>
      </w:r>
      <w:r w:rsidRPr="00295ED3">
        <w:rPr>
          <w:lang w:val="en-GB"/>
        </w:rPr>
        <w:t>: Results of CEPT Questionnaire on licensing considerations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51"/>
        <w:gridCol w:w="7796"/>
      </w:tblGrid>
      <w:tr w:rsidR="00BD35D0" w:rsidRPr="00295ED3" w:rsidTr="00E56BFF">
        <w:trPr>
          <w:tblHeader/>
        </w:trPr>
        <w:tc>
          <w:tcPr>
            <w:tcW w:w="1951"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p w:rsidR="00BD35D0" w:rsidRPr="00295ED3" w:rsidRDefault="00BD35D0" w:rsidP="00E56BFF">
            <w:pPr>
              <w:spacing w:line="288" w:lineRule="auto"/>
              <w:jc w:val="center"/>
              <w:rPr>
                <w:b/>
                <w:color w:val="FFFFFF"/>
                <w:lang w:val="en-GB"/>
              </w:rPr>
            </w:pPr>
            <w:r w:rsidRPr="00295ED3">
              <w:rPr>
                <w:b/>
                <w:color w:val="FFFFFF"/>
                <w:lang w:val="en-GB"/>
              </w:rPr>
              <w:t xml:space="preserve">Frequency band </w:t>
            </w:r>
          </w:p>
        </w:tc>
        <w:tc>
          <w:tcPr>
            <w:tcW w:w="7796" w:type="dxa"/>
            <w:tcBorders>
              <w:top w:val="single" w:sz="4" w:space="0" w:color="D2232A"/>
              <w:left w:val="single" w:sz="8" w:space="0" w:color="FFFFFF"/>
              <w:bottom w:val="single" w:sz="4" w:space="0" w:color="D2232A"/>
              <w:right w:val="single" w:sz="8" w:space="0" w:color="FFFFFF"/>
            </w:tcBorders>
            <w:shd w:val="clear" w:color="auto" w:fill="D2232A"/>
            <w:vAlign w:val="center"/>
            <w:hideMark/>
          </w:tcPr>
          <w:p w:rsidR="00BD35D0" w:rsidRPr="00295ED3" w:rsidRDefault="00BD35D0" w:rsidP="00E56BFF">
            <w:pPr>
              <w:spacing w:line="288" w:lineRule="auto"/>
              <w:jc w:val="center"/>
              <w:rPr>
                <w:b/>
                <w:color w:val="FFFFFF"/>
                <w:lang w:val="en-GB"/>
              </w:rPr>
            </w:pPr>
            <w:r w:rsidRPr="00295ED3">
              <w:rPr>
                <w:b/>
                <w:color w:val="FFFFFF"/>
                <w:lang w:val="en-GB"/>
              </w:rPr>
              <w:t xml:space="preserve">Preliminary Analysis / results </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29</w:t>
            </w:r>
            <w:r>
              <w:rPr>
                <w:lang w:val="en-GB"/>
              </w:rPr>
              <w:t>.7-</w:t>
            </w:r>
            <w:r w:rsidRPr="00295ED3">
              <w:rPr>
                <w:lang w:val="en-GB"/>
              </w:rPr>
              <w:t>47</w:t>
            </w:r>
            <w:r>
              <w:rPr>
                <w:lang w:val="en-GB"/>
              </w:rPr>
              <w:t>.</w:t>
            </w:r>
            <w:r w:rsidRPr="00295ED3">
              <w:rPr>
                <w:lang w:val="en-GB"/>
              </w:rPr>
              <w:t>0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30 countries providing a response on this band, 25 of them report about the availability of the band or parts of it for PMSE applications</w:t>
            </w:r>
          </w:p>
          <w:p w:rsidR="00BD35D0" w:rsidRPr="00295ED3" w:rsidRDefault="00BD35D0" w:rsidP="00E56BFF">
            <w:pPr>
              <w:spacing w:line="288" w:lineRule="auto"/>
              <w:rPr>
                <w:lang w:val="en-GB"/>
              </w:rPr>
            </w:pPr>
            <w:r w:rsidRPr="00295ED3">
              <w:rPr>
                <w:lang w:val="en-GB"/>
              </w:rPr>
              <w:t>In most cases, PMSE operation is under license exempt or general licensing regime. A few countries request individual licenses, one as a general rule for radio microphones, another to allow for more relaxed technical conditions.</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174-</w:t>
            </w:r>
            <w:r w:rsidRPr="00295ED3">
              <w:rPr>
                <w:lang w:val="en-GB"/>
              </w:rPr>
              <w:t>216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30 countries providing a response on this band, 28 of them report about the availability of the band or parts of it for PMSE applications.</w:t>
            </w:r>
          </w:p>
          <w:p w:rsidR="00BD35D0" w:rsidRPr="00295ED3" w:rsidRDefault="00BD35D0" w:rsidP="00E56BFF">
            <w:pPr>
              <w:spacing w:line="288" w:lineRule="auto"/>
              <w:rPr>
                <w:lang w:val="en-GB"/>
              </w:rPr>
            </w:pPr>
            <w:r w:rsidRPr="00295ED3">
              <w:rPr>
                <w:lang w:val="en-GB"/>
              </w:rPr>
              <w:t>The use of this band for radio microphones is generally regulated through license exempt or general license regime, but light or individual licensing may also apply in some countries.</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470-</w:t>
            </w:r>
            <w:r w:rsidRPr="00295ED3">
              <w:rPr>
                <w:lang w:val="en-GB"/>
              </w:rPr>
              <w:t>786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31 countries providing a response on this band, 29 report availability of all or part of the band for PMSE applications.</w:t>
            </w:r>
          </w:p>
          <w:p w:rsidR="00BD35D0" w:rsidRPr="00295ED3" w:rsidRDefault="00BD35D0" w:rsidP="00E56BFF">
            <w:pPr>
              <w:spacing w:line="288" w:lineRule="auto"/>
              <w:rPr>
                <w:lang w:val="en-GB"/>
              </w:rPr>
            </w:pPr>
            <w:r w:rsidRPr="00295ED3">
              <w:rPr>
                <w:lang w:val="en-GB"/>
              </w:rPr>
              <w:t>The use of this band for radio microphones and IEM is generally regulated through license exempt or general license regime, but light, individual or site specific licensing may also apply in some countries</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786-</w:t>
            </w:r>
            <w:r w:rsidRPr="00295ED3">
              <w:rPr>
                <w:lang w:val="en-GB"/>
              </w:rPr>
              <w:t>789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31 countries providing a response on this band, 27 of them report availability of the band for PMSE applications.</w:t>
            </w:r>
          </w:p>
          <w:p w:rsidR="00BD35D0" w:rsidRPr="00295ED3" w:rsidRDefault="00BD35D0" w:rsidP="00E56BFF">
            <w:pPr>
              <w:spacing w:line="288" w:lineRule="auto"/>
              <w:rPr>
                <w:lang w:val="en-GB"/>
              </w:rPr>
            </w:pPr>
            <w:r w:rsidRPr="00295ED3">
              <w:rPr>
                <w:lang w:val="en-GB"/>
              </w:rPr>
              <w:t>The use of this band for radio microphones and IEM is generally regulated through license exempt or general license regime, but light, individual or site specific licensing may also apply in some countries.</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823-</w:t>
            </w:r>
            <w:r w:rsidRPr="00295ED3">
              <w:rPr>
                <w:lang w:val="en-GB"/>
              </w:rPr>
              <w:t>826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31 countries providing a response on this band, 24 of them report current availability of the band for PMSE applications. The availability of this band is also under consideration in 3 other countries.</w:t>
            </w:r>
          </w:p>
          <w:p w:rsidR="00BD35D0" w:rsidRPr="00295ED3" w:rsidRDefault="00BD35D0" w:rsidP="00E56BFF">
            <w:pPr>
              <w:spacing w:line="288" w:lineRule="auto"/>
              <w:rPr>
                <w:lang w:val="en-GB"/>
              </w:rPr>
            </w:pPr>
            <w:r w:rsidRPr="00295ED3">
              <w:rPr>
                <w:lang w:val="en-GB"/>
              </w:rPr>
              <w:t>The use of this band for radio microphones and IEM is generally regulated through license exempt or general license regime, but light, individual or site specific licensing may and also in-ear monitors also apply in some countries.</w:t>
            </w:r>
          </w:p>
          <w:p w:rsidR="00BD35D0" w:rsidRPr="00295ED3" w:rsidRDefault="00BD35D0" w:rsidP="00E56BFF">
            <w:pPr>
              <w:spacing w:line="288" w:lineRule="auto"/>
              <w:rPr>
                <w:lang w:val="en-GB"/>
              </w:rPr>
            </w:pPr>
            <w:r w:rsidRPr="00295ED3">
              <w:rPr>
                <w:lang w:val="en-GB"/>
              </w:rPr>
              <w:t>This band is also used in a few countries for other PMSE applications such as temporary SAB, generally with higher power and individual licensing.</w:t>
            </w:r>
          </w:p>
          <w:p w:rsidR="00BD35D0" w:rsidRPr="00295ED3" w:rsidRDefault="00BD35D0" w:rsidP="00E56BFF">
            <w:pPr>
              <w:spacing w:line="288" w:lineRule="auto"/>
              <w:rPr>
                <w:lang w:val="en-GB"/>
              </w:rPr>
            </w:pPr>
            <w:r w:rsidRPr="00295ED3">
              <w:rPr>
                <w:lang w:val="en-GB"/>
              </w:rPr>
              <w:lastRenderedPageBreak/>
              <w:t xml:space="preserve">In some countries, the regulation is expected to be amended to be in line with the latest version of </w:t>
            </w:r>
            <w:r>
              <w:rPr>
                <w:lang w:val="en-GB"/>
              </w:rPr>
              <w:t>ERC/</w:t>
            </w:r>
            <w:r w:rsidRPr="00295ED3">
              <w:rPr>
                <w:lang w:val="en-GB"/>
              </w:rPr>
              <w:t>REC 70-03</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lastRenderedPageBreak/>
              <w:t>826-</w:t>
            </w:r>
            <w:r w:rsidRPr="00295ED3">
              <w:rPr>
                <w:lang w:val="en-GB"/>
              </w:rPr>
              <w:t>832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the 31 countries providing a response on this band, 24 of them report current availability of the band for PMSE applications. The availability of this band is also under consideration in 3 other countries.</w:t>
            </w:r>
          </w:p>
          <w:p w:rsidR="00BD35D0" w:rsidRPr="00295ED3" w:rsidRDefault="00BD35D0" w:rsidP="00E56BFF">
            <w:pPr>
              <w:spacing w:line="288" w:lineRule="auto"/>
              <w:rPr>
                <w:lang w:val="en-GB"/>
              </w:rPr>
            </w:pPr>
            <w:r w:rsidRPr="00295ED3">
              <w:rPr>
                <w:lang w:val="en-GB"/>
              </w:rPr>
              <w:t>The use of this band for radio microphones and IEM is generally regulated through license exempt or general license regime, but light, individual or site specific licensing may also apply in some countries.</w:t>
            </w:r>
          </w:p>
          <w:p w:rsidR="00BD35D0" w:rsidRPr="00295ED3" w:rsidRDefault="00BD35D0" w:rsidP="00E56BFF">
            <w:pPr>
              <w:spacing w:line="288" w:lineRule="auto"/>
              <w:rPr>
                <w:lang w:val="en-GB"/>
              </w:rPr>
            </w:pPr>
            <w:r w:rsidRPr="00295ED3">
              <w:rPr>
                <w:lang w:val="en-GB"/>
              </w:rPr>
              <w:t xml:space="preserve">In some countries, the regulation is expected to be amended to be in line with the latest version of </w:t>
            </w:r>
            <w:r>
              <w:rPr>
                <w:lang w:val="en-GB"/>
              </w:rPr>
              <w:t>ERC/</w:t>
            </w:r>
            <w:r w:rsidRPr="00295ED3">
              <w:rPr>
                <w:lang w:val="en-GB"/>
              </w:rPr>
              <w:t>REC 70-03</w:t>
            </w:r>
          </w:p>
        </w:tc>
      </w:tr>
      <w:tr w:rsidR="00BD35D0" w:rsidRPr="00295ED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863-</w:t>
            </w:r>
            <w:r w:rsidRPr="00295ED3">
              <w:rPr>
                <w:lang w:val="en-GB"/>
              </w:rPr>
              <w:t>865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The 30 countries providing a response on this band, report availability of the band for PMSE applications.</w:t>
            </w:r>
          </w:p>
          <w:p w:rsidR="00BD35D0" w:rsidRPr="00295ED3" w:rsidRDefault="00BD35D0" w:rsidP="00E56BFF">
            <w:pPr>
              <w:spacing w:line="288" w:lineRule="auto"/>
              <w:rPr>
                <w:lang w:val="en-GB"/>
              </w:rPr>
            </w:pPr>
            <w:r w:rsidRPr="00295ED3">
              <w:rPr>
                <w:lang w:val="en-GB"/>
              </w:rPr>
              <w:t>The use of this band is generally regulated through license exempt or general license regime, but individual licensing may also apply in a few countries. No change is expected in this band.</w:t>
            </w:r>
          </w:p>
        </w:tc>
      </w:tr>
      <w:tr w:rsidR="00BD35D0" w:rsidRPr="001142E3" w:rsidTr="00E56BFF">
        <w:tc>
          <w:tcPr>
            <w:tcW w:w="1951"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Pr>
                <w:lang w:val="en-GB"/>
              </w:rPr>
              <w:t>1785-</w:t>
            </w:r>
            <w:r w:rsidRPr="00295ED3">
              <w:rPr>
                <w:lang w:val="en-GB"/>
              </w:rPr>
              <w:t>1800 MHz</w:t>
            </w:r>
          </w:p>
        </w:tc>
        <w:tc>
          <w:tcPr>
            <w:tcW w:w="7796" w:type="dxa"/>
            <w:tcBorders>
              <w:top w:val="single" w:sz="4" w:space="0" w:color="D2232A"/>
              <w:left w:val="single" w:sz="4" w:space="0" w:color="D2232A"/>
              <w:bottom w:val="single" w:sz="4" w:space="0" w:color="D2232A"/>
              <w:right w:val="single" w:sz="4" w:space="0" w:color="D2232A"/>
            </w:tcBorders>
            <w:vAlign w:val="center"/>
            <w:hideMark/>
          </w:tcPr>
          <w:p w:rsidR="00BD35D0" w:rsidRPr="00295ED3" w:rsidRDefault="00BD35D0" w:rsidP="00E56BFF">
            <w:pPr>
              <w:spacing w:line="288" w:lineRule="auto"/>
              <w:rPr>
                <w:lang w:val="en-GB"/>
              </w:rPr>
            </w:pPr>
            <w:r w:rsidRPr="00295ED3">
              <w:rPr>
                <w:lang w:val="en-GB"/>
              </w:rPr>
              <w:t>From 30 countries providing a response on this band, 23 of them report availability of the band or parts of it for PMSE applications. In addition 3 countries intend to make the band available in the near future.</w:t>
            </w:r>
          </w:p>
          <w:p w:rsidR="00BD35D0" w:rsidRPr="00295ED3" w:rsidRDefault="00BD35D0" w:rsidP="00E56BFF">
            <w:pPr>
              <w:spacing w:line="288" w:lineRule="auto"/>
              <w:rPr>
                <w:lang w:val="en-GB"/>
              </w:rPr>
            </w:pPr>
            <w:r w:rsidRPr="00295ED3">
              <w:rPr>
                <w:lang w:val="en-GB"/>
              </w:rPr>
              <w:t xml:space="preserve">The use of this band is generally regulated through license exempt or general license regime, but light or individual licensing may also apply in some countries. </w:t>
            </w:r>
          </w:p>
          <w:p w:rsidR="00BD35D0" w:rsidRPr="00295ED3" w:rsidRDefault="00BD35D0" w:rsidP="00E56BFF">
            <w:pPr>
              <w:spacing w:line="288" w:lineRule="auto"/>
              <w:rPr>
                <w:lang w:val="en-GB"/>
              </w:rPr>
            </w:pPr>
            <w:r w:rsidRPr="00295ED3">
              <w:rPr>
                <w:lang w:val="en-GB"/>
              </w:rPr>
              <w:t>It should be noted that one country reported about th</w:t>
            </w:r>
            <w:r>
              <w:rPr>
                <w:lang w:val="en-GB"/>
              </w:rPr>
              <w:t>e availability of the band 1800-</w:t>
            </w:r>
            <w:r w:rsidRPr="00295ED3">
              <w:rPr>
                <w:lang w:val="en-GB"/>
              </w:rPr>
              <w:t>1805 MHz under the same</w:t>
            </w:r>
            <w:r>
              <w:rPr>
                <w:lang w:val="en-GB"/>
              </w:rPr>
              <w:t xml:space="preserve"> conditions than for the 1785-</w:t>
            </w:r>
            <w:r w:rsidRPr="00295ED3">
              <w:rPr>
                <w:lang w:val="en-GB"/>
              </w:rPr>
              <w:t>1800 MHz band.</w:t>
            </w:r>
          </w:p>
        </w:tc>
      </w:tr>
    </w:tbl>
    <w:p w:rsidR="00BD35D0" w:rsidRPr="00295ED3" w:rsidRDefault="00BD35D0" w:rsidP="00BD35D0">
      <w:pPr>
        <w:pStyle w:val="ECCParagraph"/>
      </w:pPr>
    </w:p>
    <w:p w:rsidR="00BD35D0" w:rsidRPr="00295ED3" w:rsidRDefault="00BD35D0" w:rsidP="00BD35D0">
      <w:pPr>
        <w:pStyle w:val="ECCParagraph"/>
      </w:pPr>
      <w:r w:rsidRPr="00295ED3">
        <w:t>In the full responses from the administrations to the questionnaire, the administrations also provided the relevant contact points that are in charge for applying for licenses in the relevant bands. This information is available in on the ECC web site</w:t>
      </w:r>
      <w:r w:rsidR="001142E3">
        <w:rPr>
          <w:lang w:val="en-GB"/>
        </w:rPr>
        <w:t xml:space="preserve"> (</w:t>
      </w:r>
      <w:hyperlink r:id="rId9" w:history="1">
        <w:r w:rsidR="00F67EF4" w:rsidRPr="00A4625A">
          <w:rPr>
            <w:rStyle w:val="Hyperlink"/>
            <w:lang w:val="en-GB"/>
          </w:rPr>
          <w:t>https://www.cept.org/ecc/topics/programme-making-and-special-events-applications-pmse</w:t>
        </w:r>
      </w:hyperlink>
      <w:r w:rsidR="00F67EF4">
        <w:rPr>
          <w:lang w:val="en-GB"/>
        </w:rPr>
        <w:t xml:space="preserve"> )</w:t>
      </w:r>
      <w:r w:rsidRPr="00295ED3">
        <w:t>.</w:t>
      </w:r>
    </w:p>
    <w:p w:rsidR="00BD35D0" w:rsidRPr="00295ED3" w:rsidRDefault="00BD35D0" w:rsidP="00BD35D0">
      <w:pPr>
        <w:pStyle w:val="ECCParagraph"/>
      </w:pPr>
      <w:r w:rsidRPr="00295ED3">
        <w:t>From the table it can be concluded that there are 8 core tuning ranges for PMSE audio applications. The licensing conditions for these bands may vary, but some spectrum will be available. It needs to be discussed, if there are ways to unify the licensing regimes per tuning ranges throughout the administrations. This would be beneficial for the use and circulation of PMSE equipment in the various member countries. Additional it would help reducing the administrative burden and time for the PMSE user in applying for licenses.</w:t>
      </w:r>
    </w:p>
    <w:p w:rsidR="00332CB4" w:rsidRPr="00BD35D0" w:rsidRDefault="00332CB4">
      <w:pPr>
        <w:rPr>
          <w:b/>
          <w:lang w:val="x-none"/>
        </w:rPr>
      </w:pPr>
    </w:p>
    <w:sectPr w:rsidR="00332CB4" w:rsidRPr="00BD35D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07" w:rsidRDefault="009D6007" w:rsidP="00B54F2A">
      <w:pPr>
        <w:spacing w:after="0" w:line="240" w:lineRule="auto"/>
      </w:pPr>
      <w:r>
        <w:separator/>
      </w:r>
    </w:p>
  </w:endnote>
  <w:endnote w:type="continuationSeparator" w:id="0">
    <w:p w:rsidR="009D6007" w:rsidRDefault="009D6007" w:rsidP="00B5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07" w:rsidRDefault="009D6007" w:rsidP="00B54F2A">
      <w:pPr>
        <w:spacing w:after="0" w:line="240" w:lineRule="auto"/>
      </w:pPr>
      <w:r>
        <w:separator/>
      </w:r>
    </w:p>
  </w:footnote>
  <w:footnote w:type="continuationSeparator" w:id="0">
    <w:p w:rsidR="009D6007" w:rsidRDefault="009D6007" w:rsidP="00B54F2A">
      <w:pPr>
        <w:spacing w:after="0" w:line="240" w:lineRule="auto"/>
      </w:pPr>
      <w:r>
        <w:continuationSeparator/>
      </w:r>
    </w:p>
  </w:footnote>
  <w:footnote w:id="1">
    <w:p w:rsidR="00B54F2A" w:rsidRPr="00295ED3" w:rsidRDefault="00B54F2A" w:rsidP="00B54F2A">
      <w:pPr>
        <w:pStyle w:val="reference"/>
        <w:rPr>
          <w:lang w:val="en-GB"/>
        </w:rPr>
      </w:pPr>
      <w:r>
        <w:rPr>
          <w:rStyle w:val="FootnoteReference"/>
        </w:rPr>
        <w:footnoteRef/>
      </w:r>
      <w:r>
        <w:t xml:space="preserve"> </w:t>
      </w:r>
      <w:bookmarkStart w:id="2" w:name="_Ref334787588"/>
      <w:r w:rsidRPr="00295ED3">
        <w:rPr>
          <w:rFonts w:cs="Arial"/>
          <w:lang w:val="en-GB"/>
        </w:rPr>
        <w:t>Questionnaire to CEPT administrations on the regulatory procedures used by administrations in granting access to spectrum for PMSE (</w:t>
      </w:r>
      <w:hyperlink r:id="rId1" w:history="1">
        <w:r w:rsidRPr="00295ED3">
          <w:rPr>
            <w:rStyle w:val="Hyperlink"/>
            <w:rFonts w:cs="Arial"/>
            <w:lang w:val="en-GB"/>
          </w:rPr>
          <w:t>summ</w:t>
        </w:r>
        <w:bookmarkStart w:id="3" w:name="_Hlt372714036"/>
        <w:bookmarkStart w:id="4" w:name="_Hlt372714037"/>
        <w:r w:rsidRPr="00295ED3">
          <w:rPr>
            <w:rStyle w:val="Hyperlink"/>
            <w:rFonts w:cs="Arial"/>
            <w:lang w:val="en-GB"/>
          </w:rPr>
          <w:t>a</w:t>
        </w:r>
        <w:bookmarkEnd w:id="3"/>
        <w:bookmarkEnd w:id="4"/>
        <w:r w:rsidRPr="00295ED3">
          <w:rPr>
            <w:rStyle w:val="Hyperlink"/>
            <w:rFonts w:cs="Arial"/>
            <w:lang w:val="en-GB"/>
          </w:rPr>
          <w:t>ry</w:t>
        </w:r>
      </w:hyperlink>
      <w:r w:rsidRPr="00295ED3">
        <w:rPr>
          <w:rFonts w:cs="Arial"/>
          <w:lang w:val="en-GB"/>
        </w:rPr>
        <w:t xml:space="preserve">, </w:t>
      </w:r>
      <w:hyperlink r:id="rId2" w:history="1">
        <w:r w:rsidRPr="00295ED3">
          <w:rPr>
            <w:rStyle w:val="Hyperlink"/>
            <w:rFonts w:cs="Arial"/>
            <w:lang w:val="en-GB"/>
          </w:rPr>
          <w:t>full set of responses</w:t>
        </w:r>
      </w:hyperlink>
      <w:r w:rsidRPr="00295ED3">
        <w:rPr>
          <w:rFonts w:cs="Arial"/>
          <w:lang w:val="en-GB"/>
        </w:rPr>
        <w:t>)</w:t>
      </w:r>
      <w:bookmarkEnd w:id="2"/>
    </w:p>
    <w:p w:rsidR="00B54F2A" w:rsidRPr="00B54F2A" w:rsidRDefault="00B54F2A" w:rsidP="00B54F2A">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188"/>
    <w:multiLevelType w:val="multilevel"/>
    <w:tmpl w:val="8D2EBC38"/>
    <w:lvl w:ilvl="0">
      <w:start w:val="1"/>
      <w:numFmt w:val="decimal"/>
      <w:pStyle w:val="ECCAnnexheading1"/>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5115"/>
        </w:tabs>
        <w:ind w:left="511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CCAnnexheading4"/>
      <w:lvlText w:val="A%1.%2.%3.%4"/>
      <w:lvlJc w:val="left"/>
      <w:pPr>
        <w:tabs>
          <w:tab w:val="num" w:pos="1290"/>
        </w:tabs>
        <w:ind w:left="1290" w:hanging="864"/>
      </w:pPr>
      <w:rPr>
        <w:rFonts w:hint="default"/>
      </w:rPr>
    </w:lvl>
    <w:lvl w:ilvl="4">
      <w:start w:val="1"/>
      <w:numFmt w:val="decimal"/>
      <w:lvlText w:val="%1.%2.%3.%4.%5"/>
      <w:lvlJc w:val="left"/>
      <w:pPr>
        <w:tabs>
          <w:tab w:val="num" w:pos="5403"/>
        </w:tabs>
        <w:ind w:left="5403" w:hanging="1008"/>
      </w:pPr>
      <w:rPr>
        <w:rFonts w:hint="default"/>
      </w:rPr>
    </w:lvl>
    <w:lvl w:ilvl="5">
      <w:start w:val="1"/>
      <w:numFmt w:val="decimal"/>
      <w:lvlText w:val="%1.%2.%3.%4.%5.%6"/>
      <w:lvlJc w:val="left"/>
      <w:pPr>
        <w:tabs>
          <w:tab w:val="num" w:pos="5547"/>
        </w:tabs>
        <w:ind w:left="5547" w:hanging="1152"/>
      </w:pPr>
      <w:rPr>
        <w:rFonts w:hint="default"/>
      </w:rPr>
    </w:lvl>
    <w:lvl w:ilvl="6">
      <w:start w:val="1"/>
      <w:numFmt w:val="decimal"/>
      <w:lvlText w:val="%1.%2.%3.%4.%5.%6.%7"/>
      <w:lvlJc w:val="left"/>
      <w:pPr>
        <w:tabs>
          <w:tab w:val="num" w:pos="5691"/>
        </w:tabs>
        <w:ind w:left="5691" w:hanging="1296"/>
      </w:pPr>
      <w:rPr>
        <w:rFonts w:hint="default"/>
      </w:rPr>
    </w:lvl>
    <w:lvl w:ilvl="7">
      <w:start w:val="1"/>
      <w:numFmt w:val="decimal"/>
      <w:lvlText w:val="%1.%2.%3.%4.%5.%6.%7.%8"/>
      <w:lvlJc w:val="left"/>
      <w:pPr>
        <w:tabs>
          <w:tab w:val="num" w:pos="5835"/>
        </w:tabs>
        <w:ind w:left="5835" w:hanging="1440"/>
      </w:pPr>
      <w:rPr>
        <w:rFonts w:hint="default"/>
      </w:rPr>
    </w:lvl>
    <w:lvl w:ilvl="8">
      <w:start w:val="1"/>
      <w:numFmt w:val="decimal"/>
      <w:lvlText w:val="%1.%2.%3.%4.%5.%6.%7.%8.%9"/>
      <w:lvlJc w:val="left"/>
      <w:pPr>
        <w:tabs>
          <w:tab w:val="num" w:pos="5979"/>
        </w:tabs>
        <w:ind w:left="5979" w:hanging="1584"/>
      </w:pPr>
      <w:rPr>
        <w:rFonts w:hint="default"/>
      </w:rPr>
    </w:lvl>
  </w:abstractNum>
  <w:abstractNum w:abstractNumId="1">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EF7EA9"/>
    <w:multiLevelType w:val="hybridMultilevel"/>
    <w:tmpl w:val="746E14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D0"/>
    <w:rsid w:val="001142E3"/>
    <w:rsid w:val="001D5408"/>
    <w:rsid w:val="00332CB4"/>
    <w:rsid w:val="00614F34"/>
    <w:rsid w:val="007C1F55"/>
    <w:rsid w:val="007E0645"/>
    <w:rsid w:val="008F7C12"/>
    <w:rsid w:val="009D6007"/>
    <w:rsid w:val="00A33571"/>
    <w:rsid w:val="00B54F2A"/>
    <w:rsid w:val="00BD35D0"/>
    <w:rsid w:val="00F67E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8F7C12"/>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Paragraph">
    <w:name w:val="ECC Paragraph"/>
    <w:basedOn w:val="Normal"/>
    <w:link w:val="ECCParagraphChar"/>
    <w:rsid w:val="00BD35D0"/>
    <w:pPr>
      <w:spacing w:after="240" w:line="240" w:lineRule="auto"/>
      <w:jc w:val="both"/>
    </w:pPr>
    <w:rPr>
      <w:rFonts w:ascii="Arial" w:eastAsia="Times New Roman" w:hAnsi="Arial" w:cs="Times New Roman"/>
      <w:sz w:val="20"/>
      <w:szCs w:val="24"/>
      <w:lang w:val="x-none"/>
    </w:rPr>
  </w:style>
  <w:style w:type="paragraph" w:customStyle="1" w:styleId="ECCAnnexheading1">
    <w:name w:val="ECC Annex heading1"/>
    <w:basedOn w:val="Heading1"/>
    <w:next w:val="ECCParagraph"/>
    <w:rsid w:val="00BD35D0"/>
    <w:pPr>
      <w:keepLines w:val="0"/>
      <w:pageBreakBefore/>
      <w:numPr>
        <w:numId w:val="1"/>
      </w:numPr>
      <w:tabs>
        <w:tab w:val="num" w:pos="360"/>
      </w:tabs>
      <w:spacing w:before="600" w:after="240" w:line="240" w:lineRule="auto"/>
    </w:pPr>
    <w:rPr>
      <w:rFonts w:ascii="Arial" w:eastAsia="Times New Roman" w:hAnsi="Arial" w:cs="Times New Roman"/>
      <w:caps/>
      <w:color w:val="D2232A"/>
      <w:kern w:val="32"/>
      <w:sz w:val="20"/>
      <w:szCs w:val="32"/>
      <w:lang w:val="en-GB"/>
    </w:rPr>
  </w:style>
  <w:style w:type="paragraph" w:customStyle="1" w:styleId="ECCAnnexheading2">
    <w:name w:val="ECC Annex heading2"/>
    <w:basedOn w:val="Normal"/>
    <w:next w:val="ECCParagraph"/>
    <w:rsid w:val="00BD35D0"/>
    <w:pPr>
      <w:numPr>
        <w:ilvl w:val="1"/>
        <w:numId w:val="1"/>
      </w:numPr>
      <w:overflowPunct w:val="0"/>
      <w:autoSpaceDE w:val="0"/>
      <w:autoSpaceDN w:val="0"/>
      <w:adjustRightInd w:val="0"/>
      <w:spacing w:before="480" w:after="240" w:line="240" w:lineRule="auto"/>
      <w:ind w:left="567" w:hanging="567"/>
      <w:textAlignment w:val="baseline"/>
    </w:pPr>
    <w:rPr>
      <w:rFonts w:ascii="Arial" w:eastAsia="Times New Roman" w:hAnsi="Arial" w:cs="Times New Roman"/>
      <w:b/>
      <w:caps/>
      <w:sz w:val="20"/>
      <w:szCs w:val="24"/>
      <w:lang w:val="en-US"/>
    </w:rPr>
  </w:style>
  <w:style w:type="paragraph" w:customStyle="1" w:styleId="ECCAnnexheading3">
    <w:name w:val="ECC Annex heading3"/>
    <w:basedOn w:val="Normal"/>
    <w:next w:val="ECCParagraph"/>
    <w:rsid w:val="00BD35D0"/>
    <w:pPr>
      <w:numPr>
        <w:ilvl w:val="2"/>
        <w:numId w:val="1"/>
      </w:numPr>
      <w:tabs>
        <w:tab w:val="clear" w:pos="5115"/>
        <w:tab w:val="num" w:pos="709"/>
      </w:tabs>
      <w:overflowPunct w:val="0"/>
      <w:autoSpaceDE w:val="0"/>
      <w:autoSpaceDN w:val="0"/>
      <w:adjustRightInd w:val="0"/>
      <w:spacing w:before="360" w:after="120" w:line="240" w:lineRule="auto"/>
      <w:ind w:left="709" w:hanging="709"/>
      <w:textAlignment w:val="baseline"/>
    </w:pPr>
    <w:rPr>
      <w:rFonts w:ascii="Arial" w:eastAsia="Times New Roman" w:hAnsi="Arial" w:cs="Times New Roman"/>
      <w:b/>
      <w:sz w:val="20"/>
      <w:szCs w:val="24"/>
      <w:lang w:val="en-GB"/>
    </w:rPr>
  </w:style>
  <w:style w:type="paragraph" w:customStyle="1" w:styleId="ECCAnnexheading4">
    <w:name w:val="ECC Annex heading4"/>
    <w:basedOn w:val="Normal"/>
    <w:next w:val="ECCParagraph"/>
    <w:rsid w:val="00BD35D0"/>
    <w:pPr>
      <w:numPr>
        <w:ilvl w:val="3"/>
        <w:numId w:val="1"/>
      </w:numPr>
      <w:tabs>
        <w:tab w:val="clear" w:pos="1290"/>
      </w:tabs>
      <w:overflowPunct w:val="0"/>
      <w:autoSpaceDE w:val="0"/>
      <w:autoSpaceDN w:val="0"/>
      <w:adjustRightInd w:val="0"/>
      <w:spacing w:before="360" w:after="120" w:line="240" w:lineRule="auto"/>
      <w:ind w:left="993" w:hanging="993"/>
      <w:textAlignment w:val="baseline"/>
    </w:pPr>
    <w:rPr>
      <w:rFonts w:ascii="Arial" w:eastAsia="Times New Roman" w:hAnsi="Arial" w:cs="Times New Roman"/>
      <w:i/>
      <w:color w:val="D2232A"/>
      <w:sz w:val="20"/>
      <w:szCs w:val="24"/>
      <w:lang w:val="en-US"/>
    </w:rPr>
  </w:style>
  <w:style w:type="paragraph" w:styleId="Caption">
    <w:name w:val="caption"/>
    <w:aliases w:val="Ca"/>
    <w:basedOn w:val="Normal"/>
    <w:next w:val="Normal"/>
    <w:link w:val="CaptionChar"/>
    <w:uiPriority w:val="35"/>
    <w:qFormat/>
    <w:rsid w:val="00BD35D0"/>
    <w:pPr>
      <w:spacing w:before="240" w:after="240" w:line="240" w:lineRule="auto"/>
      <w:jc w:val="center"/>
    </w:pPr>
    <w:rPr>
      <w:rFonts w:ascii="Arial" w:eastAsia="Times New Roman" w:hAnsi="Arial" w:cs="Times New Roman"/>
      <w:b/>
      <w:bCs/>
      <w:color w:val="D2232A"/>
      <w:sz w:val="20"/>
      <w:szCs w:val="20"/>
      <w:lang w:val="x-none" w:eastAsia="x-none"/>
    </w:rPr>
  </w:style>
  <w:style w:type="character" w:customStyle="1" w:styleId="ECCParagraphChar">
    <w:name w:val="ECC Paragraph Char"/>
    <w:link w:val="ECCParagraph"/>
    <w:rsid w:val="00BD35D0"/>
    <w:rPr>
      <w:rFonts w:ascii="Arial" w:eastAsia="Times New Roman" w:hAnsi="Arial" w:cs="Times New Roman"/>
      <w:sz w:val="20"/>
      <w:szCs w:val="24"/>
      <w:lang w:val="x-none"/>
    </w:rPr>
  </w:style>
  <w:style w:type="character" w:customStyle="1" w:styleId="CaptionChar">
    <w:name w:val="Caption Char"/>
    <w:aliases w:val="Ca Char"/>
    <w:link w:val="Caption"/>
    <w:uiPriority w:val="35"/>
    <w:locked/>
    <w:rsid w:val="00BD35D0"/>
    <w:rPr>
      <w:rFonts w:ascii="Arial" w:eastAsia="Times New Roman" w:hAnsi="Arial" w:cs="Times New Roman"/>
      <w:b/>
      <w:bCs/>
      <w:color w:val="D2232A"/>
      <w:sz w:val="20"/>
      <w:szCs w:val="20"/>
      <w:lang w:val="x-none" w:eastAsia="x-none"/>
    </w:rPr>
  </w:style>
  <w:style w:type="character" w:customStyle="1" w:styleId="Heading1Char">
    <w:name w:val="Heading 1 Char"/>
    <w:basedOn w:val="DefaultParagraphFont"/>
    <w:link w:val="Heading1"/>
    <w:uiPriority w:val="9"/>
    <w:rsid w:val="00BD35D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54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F2A"/>
    <w:rPr>
      <w:sz w:val="20"/>
      <w:szCs w:val="20"/>
    </w:rPr>
  </w:style>
  <w:style w:type="character" w:styleId="FootnoteReference">
    <w:name w:val="footnote reference"/>
    <w:basedOn w:val="DefaultParagraphFont"/>
    <w:uiPriority w:val="99"/>
    <w:semiHidden/>
    <w:unhideWhenUsed/>
    <w:rsid w:val="00B54F2A"/>
    <w:rPr>
      <w:vertAlign w:val="superscript"/>
    </w:rPr>
  </w:style>
  <w:style w:type="character" w:styleId="Hyperlink">
    <w:name w:val="Hyperlink"/>
    <w:uiPriority w:val="99"/>
    <w:rsid w:val="00B54F2A"/>
    <w:rPr>
      <w:color w:val="0000FF"/>
      <w:u w:val="single"/>
    </w:rPr>
  </w:style>
  <w:style w:type="paragraph" w:customStyle="1" w:styleId="reference">
    <w:name w:val="reference"/>
    <w:basedOn w:val="Normal"/>
    <w:rsid w:val="00B54F2A"/>
    <w:pPr>
      <w:numPr>
        <w:numId w:val="3"/>
      </w:numPr>
      <w:spacing w:after="0" w:line="240" w:lineRule="auto"/>
    </w:pPr>
    <w:rPr>
      <w:rFonts w:ascii="Arial" w:eastAsia="Times New Roman" w:hAnsi="Arial" w:cs="Times New Roman"/>
      <w:sz w:val="20"/>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8F7C12"/>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Paragraph">
    <w:name w:val="ECC Paragraph"/>
    <w:basedOn w:val="Normal"/>
    <w:link w:val="ECCParagraphChar"/>
    <w:rsid w:val="00BD35D0"/>
    <w:pPr>
      <w:spacing w:after="240" w:line="240" w:lineRule="auto"/>
      <w:jc w:val="both"/>
    </w:pPr>
    <w:rPr>
      <w:rFonts w:ascii="Arial" w:eastAsia="Times New Roman" w:hAnsi="Arial" w:cs="Times New Roman"/>
      <w:sz w:val="20"/>
      <w:szCs w:val="24"/>
      <w:lang w:val="x-none"/>
    </w:rPr>
  </w:style>
  <w:style w:type="paragraph" w:customStyle="1" w:styleId="ECCAnnexheading1">
    <w:name w:val="ECC Annex heading1"/>
    <w:basedOn w:val="Heading1"/>
    <w:next w:val="ECCParagraph"/>
    <w:rsid w:val="00BD35D0"/>
    <w:pPr>
      <w:keepLines w:val="0"/>
      <w:pageBreakBefore/>
      <w:numPr>
        <w:numId w:val="1"/>
      </w:numPr>
      <w:tabs>
        <w:tab w:val="num" w:pos="360"/>
      </w:tabs>
      <w:spacing w:before="600" w:after="240" w:line="240" w:lineRule="auto"/>
    </w:pPr>
    <w:rPr>
      <w:rFonts w:ascii="Arial" w:eastAsia="Times New Roman" w:hAnsi="Arial" w:cs="Times New Roman"/>
      <w:caps/>
      <w:color w:val="D2232A"/>
      <w:kern w:val="32"/>
      <w:sz w:val="20"/>
      <w:szCs w:val="32"/>
      <w:lang w:val="en-GB"/>
    </w:rPr>
  </w:style>
  <w:style w:type="paragraph" w:customStyle="1" w:styleId="ECCAnnexheading2">
    <w:name w:val="ECC Annex heading2"/>
    <w:basedOn w:val="Normal"/>
    <w:next w:val="ECCParagraph"/>
    <w:rsid w:val="00BD35D0"/>
    <w:pPr>
      <w:numPr>
        <w:ilvl w:val="1"/>
        <w:numId w:val="1"/>
      </w:numPr>
      <w:overflowPunct w:val="0"/>
      <w:autoSpaceDE w:val="0"/>
      <w:autoSpaceDN w:val="0"/>
      <w:adjustRightInd w:val="0"/>
      <w:spacing w:before="480" w:after="240" w:line="240" w:lineRule="auto"/>
      <w:ind w:left="567" w:hanging="567"/>
      <w:textAlignment w:val="baseline"/>
    </w:pPr>
    <w:rPr>
      <w:rFonts w:ascii="Arial" w:eastAsia="Times New Roman" w:hAnsi="Arial" w:cs="Times New Roman"/>
      <w:b/>
      <w:caps/>
      <w:sz w:val="20"/>
      <w:szCs w:val="24"/>
      <w:lang w:val="en-US"/>
    </w:rPr>
  </w:style>
  <w:style w:type="paragraph" w:customStyle="1" w:styleId="ECCAnnexheading3">
    <w:name w:val="ECC Annex heading3"/>
    <w:basedOn w:val="Normal"/>
    <w:next w:val="ECCParagraph"/>
    <w:rsid w:val="00BD35D0"/>
    <w:pPr>
      <w:numPr>
        <w:ilvl w:val="2"/>
        <w:numId w:val="1"/>
      </w:numPr>
      <w:tabs>
        <w:tab w:val="clear" w:pos="5115"/>
        <w:tab w:val="num" w:pos="709"/>
      </w:tabs>
      <w:overflowPunct w:val="0"/>
      <w:autoSpaceDE w:val="0"/>
      <w:autoSpaceDN w:val="0"/>
      <w:adjustRightInd w:val="0"/>
      <w:spacing w:before="360" w:after="120" w:line="240" w:lineRule="auto"/>
      <w:ind w:left="709" w:hanging="709"/>
      <w:textAlignment w:val="baseline"/>
    </w:pPr>
    <w:rPr>
      <w:rFonts w:ascii="Arial" w:eastAsia="Times New Roman" w:hAnsi="Arial" w:cs="Times New Roman"/>
      <w:b/>
      <w:sz w:val="20"/>
      <w:szCs w:val="24"/>
      <w:lang w:val="en-GB"/>
    </w:rPr>
  </w:style>
  <w:style w:type="paragraph" w:customStyle="1" w:styleId="ECCAnnexheading4">
    <w:name w:val="ECC Annex heading4"/>
    <w:basedOn w:val="Normal"/>
    <w:next w:val="ECCParagraph"/>
    <w:rsid w:val="00BD35D0"/>
    <w:pPr>
      <w:numPr>
        <w:ilvl w:val="3"/>
        <w:numId w:val="1"/>
      </w:numPr>
      <w:tabs>
        <w:tab w:val="clear" w:pos="1290"/>
      </w:tabs>
      <w:overflowPunct w:val="0"/>
      <w:autoSpaceDE w:val="0"/>
      <w:autoSpaceDN w:val="0"/>
      <w:adjustRightInd w:val="0"/>
      <w:spacing w:before="360" w:after="120" w:line="240" w:lineRule="auto"/>
      <w:ind w:left="993" w:hanging="993"/>
      <w:textAlignment w:val="baseline"/>
    </w:pPr>
    <w:rPr>
      <w:rFonts w:ascii="Arial" w:eastAsia="Times New Roman" w:hAnsi="Arial" w:cs="Times New Roman"/>
      <w:i/>
      <w:color w:val="D2232A"/>
      <w:sz w:val="20"/>
      <w:szCs w:val="24"/>
      <w:lang w:val="en-US"/>
    </w:rPr>
  </w:style>
  <w:style w:type="paragraph" w:styleId="Caption">
    <w:name w:val="caption"/>
    <w:aliases w:val="Ca"/>
    <w:basedOn w:val="Normal"/>
    <w:next w:val="Normal"/>
    <w:link w:val="CaptionChar"/>
    <w:uiPriority w:val="35"/>
    <w:qFormat/>
    <w:rsid w:val="00BD35D0"/>
    <w:pPr>
      <w:spacing w:before="240" w:after="240" w:line="240" w:lineRule="auto"/>
      <w:jc w:val="center"/>
    </w:pPr>
    <w:rPr>
      <w:rFonts w:ascii="Arial" w:eastAsia="Times New Roman" w:hAnsi="Arial" w:cs="Times New Roman"/>
      <w:b/>
      <w:bCs/>
      <w:color w:val="D2232A"/>
      <w:sz w:val="20"/>
      <w:szCs w:val="20"/>
      <w:lang w:val="x-none" w:eastAsia="x-none"/>
    </w:rPr>
  </w:style>
  <w:style w:type="character" w:customStyle="1" w:styleId="ECCParagraphChar">
    <w:name w:val="ECC Paragraph Char"/>
    <w:link w:val="ECCParagraph"/>
    <w:rsid w:val="00BD35D0"/>
    <w:rPr>
      <w:rFonts w:ascii="Arial" w:eastAsia="Times New Roman" w:hAnsi="Arial" w:cs="Times New Roman"/>
      <w:sz w:val="20"/>
      <w:szCs w:val="24"/>
      <w:lang w:val="x-none"/>
    </w:rPr>
  </w:style>
  <w:style w:type="character" w:customStyle="1" w:styleId="CaptionChar">
    <w:name w:val="Caption Char"/>
    <w:aliases w:val="Ca Char"/>
    <w:link w:val="Caption"/>
    <w:uiPriority w:val="35"/>
    <w:locked/>
    <w:rsid w:val="00BD35D0"/>
    <w:rPr>
      <w:rFonts w:ascii="Arial" w:eastAsia="Times New Roman" w:hAnsi="Arial" w:cs="Times New Roman"/>
      <w:b/>
      <w:bCs/>
      <w:color w:val="D2232A"/>
      <w:sz w:val="20"/>
      <w:szCs w:val="20"/>
      <w:lang w:val="x-none" w:eastAsia="x-none"/>
    </w:rPr>
  </w:style>
  <w:style w:type="character" w:customStyle="1" w:styleId="Heading1Char">
    <w:name w:val="Heading 1 Char"/>
    <w:basedOn w:val="DefaultParagraphFont"/>
    <w:link w:val="Heading1"/>
    <w:uiPriority w:val="9"/>
    <w:rsid w:val="00BD35D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54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F2A"/>
    <w:rPr>
      <w:sz w:val="20"/>
      <w:szCs w:val="20"/>
    </w:rPr>
  </w:style>
  <w:style w:type="character" w:styleId="FootnoteReference">
    <w:name w:val="footnote reference"/>
    <w:basedOn w:val="DefaultParagraphFont"/>
    <w:uiPriority w:val="99"/>
    <w:semiHidden/>
    <w:unhideWhenUsed/>
    <w:rsid w:val="00B54F2A"/>
    <w:rPr>
      <w:vertAlign w:val="superscript"/>
    </w:rPr>
  </w:style>
  <w:style w:type="character" w:styleId="Hyperlink">
    <w:name w:val="Hyperlink"/>
    <w:uiPriority w:val="99"/>
    <w:rsid w:val="00B54F2A"/>
    <w:rPr>
      <w:color w:val="0000FF"/>
      <w:u w:val="single"/>
    </w:rPr>
  </w:style>
  <w:style w:type="paragraph" w:customStyle="1" w:styleId="reference">
    <w:name w:val="reference"/>
    <w:basedOn w:val="Normal"/>
    <w:rsid w:val="00B54F2A"/>
    <w:pPr>
      <w:numPr>
        <w:numId w:val="3"/>
      </w:numPr>
      <w:spacing w:after="0" w:line="240" w:lineRule="auto"/>
    </w:pPr>
    <w:rPr>
      <w:rFonts w:ascii="Arial" w:eastAsia="Times New Roman" w:hAnsi="Arial" w:cs="Times New Roman"/>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ept.org/ecc/topics/programme-making-and-special-events-applications-pm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ept.org/files/13628/PMSE%20Questionnaire%20responses.zip" TargetMode="External"/><Relationship Id="rId1" Type="http://schemas.openxmlformats.org/officeDocument/2006/relationships/hyperlink" Target="https://www.cept.org/Documents/wg-fm/34605/fm-17-043_responses-to-questionnaire-on-pm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72EC07-644D-4975-A906-BA2739DA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1355</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8</cp:revision>
  <dcterms:created xsi:type="dcterms:W3CDTF">2019-04-08T14:05:00Z</dcterms:created>
  <dcterms:modified xsi:type="dcterms:W3CDTF">2019-04-10T08:55:00Z</dcterms:modified>
</cp:coreProperties>
</file>